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BD" w:rsidRDefault="00F94DD8" w:rsidP="00B60E24">
      <w:pPr>
        <w:autoSpaceDE w:val="0"/>
        <w:autoSpaceDN w:val="0"/>
        <w:adjustRightInd w:val="0"/>
        <w:outlineLvl w:val="0"/>
        <w:rPr>
          <w:b/>
        </w:rPr>
      </w:pPr>
      <w:r>
        <w:rPr>
          <w:noProof/>
          <w:lang w:eastAsia="de-DE"/>
        </w:rPr>
        <w:drawing>
          <wp:anchor distT="0" distB="0" distL="114300" distR="114300" simplePos="0" relativeHeight="251659264" behindDoc="0" locked="0" layoutInCell="1" allowOverlap="1" wp14:anchorId="15D8A9E7" wp14:editId="33FACD3F">
            <wp:simplePos x="0" y="0"/>
            <wp:positionH relativeFrom="column">
              <wp:posOffset>2067692</wp:posOffset>
            </wp:positionH>
            <wp:positionV relativeFrom="paragraph">
              <wp:posOffset>-488219</wp:posOffset>
            </wp:positionV>
            <wp:extent cx="1190445" cy="1296453"/>
            <wp:effectExtent l="0" t="0" r="0" b="0"/>
            <wp:wrapNone/>
            <wp:docPr id="230" name="Grafik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ppen Lambsheim-Heßhei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445" cy="12964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DD8" w:rsidRDefault="00F94DD8" w:rsidP="00B60E24">
      <w:pPr>
        <w:autoSpaceDE w:val="0"/>
        <w:autoSpaceDN w:val="0"/>
        <w:adjustRightInd w:val="0"/>
        <w:outlineLvl w:val="0"/>
        <w:rPr>
          <w:b/>
          <w:i/>
        </w:rPr>
      </w:pPr>
    </w:p>
    <w:p w:rsidR="00F94DD8" w:rsidRDefault="00F94DD8" w:rsidP="00B60E24">
      <w:pPr>
        <w:autoSpaceDE w:val="0"/>
        <w:autoSpaceDN w:val="0"/>
        <w:adjustRightInd w:val="0"/>
        <w:outlineLvl w:val="0"/>
        <w:rPr>
          <w:b/>
          <w:i/>
        </w:rPr>
      </w:pPr>
    </w:p>
    <w:p w:rsidR="00AD2DC5" w:rsidRDefault="00AD2DC5" w:rsidP="00B60E24">
      <w:pPr>
        <w:autoSpaceDE w:val="0"/>
        <w:autoSpaceDN w:val="0"/>
        <w:adjustRightInd w:val="0"/>
        <w:outlineLvl w:val="0"/>
        <w:rPr>
          <w:b/>
        </w:rPr>
      </w:pPr>
    </w:p>
    <w:p w:rsidR="00B60E24" w:rsidRPr="00AD2DC5" w:rsidRDefault="00B60E24" w:rsidP="00B60E24">
      <w:pPr>
        <w:autoSpaceDE w:val="0"/>
        <w:autoSpaceDN w:val="0"/>
        <w:adjustRightInd w:val="0"/>
        <w:outlineLvl w:val="0"/>
        <w:rPr>
          <w:b/>
        </w:rPr>
      </w:pPr>
      <w:r w:rsidRPr="00AD2DC5">
        <w:rPr>
          <w:b/>
        </w:rPr>
        <w:t xml:space="preserve">Über die Verbandsgemeinde </w:t>
      </w:r>
      <w:proofErr w:type="spellStart"/>
      <w:r w:rsidRPr="00AD2DC5">
        <w:rPr>
          <w:b/>
        </w:rPr>
        <w:t>Lambsheim-Heßheim</w:t>
      </w:r>
      <w:proofErr w:type="spellEnd"/>
      <w:r w:rsidRPr="00AD2DC5">
        <w:rPr>
          <w:b/>
        </w:rPr>
        <w:t xml:space="preserve"> und deren aktuelles Klimaschutzengagement</w:t>
      </w:r>
    </w:p>
    <w:p w:rsidR="00B60E24" w:rsidRPr="00AD2DC5" w:rsidRDefault="00B60E24" w:rsidP="00B60E24">
      <w:r w:rsidRPr="00AD2DC5">
        <w:t xml:space="preserve">Die Verbandsgemeinde </w:t>
      </w:r>
      <w:proofErr w:type="spellStart"/>
      <w:r w:rsidRPr="00AD2DC5">
        <w:t>Lambsheim-Heßheim</w:t>
      </w:r>
      <w:proofErr w:type="spellEnd"/>
      <w:r w:rsidRPr="00AD2DC5">
        <w:t xml:space="preserve"> wurde im Jahr 2014 im Rahmen des  Zusammen</w:t>
      </w:r>
      <w:r w:rsidRPr="00AD2DC5">
        <w:softHyphen/>
        <w:t xml:space="preserve">schlusses der Ortsgemeinden der aufgelösten ehemaligen Verbandsgemeinde </w:t>
      </w:r>
      <w:proofErr w:type="spellStart"/>
      <w:r w:rsidRPr="00AD2DC5">
        <w:t>Heßheim</w:t>
      </w:r>
      <w:proofErr w:type="spellEnd"/>
      <w:r w:rsidRPr="00AD2DC5">
        <w:t xml:space="preserve"> und der verbandsfreien Gemeinde Lambsheim gegründet. Um das Klimaschutzengagement auf die Verbandsgemeindeebene auszuweiten, hat sich die neugegründete Verbandsgemeinde dazu entschieden, ein neues </w:t>
      </w:r>
      <w:r w:rsidR="0027518D" w:rsidRPr="00AD2DC5">
        <w:t xml:space="preserve">integriertes </w:t>
      </w:r>
      <w:r w:rsidRPr="00AD2DC5">
        <w:t xml:space="preserve">Klimaschutzkonzept für die gesamte Gemeinde im Sinne einer zukunftsfähigen Energie- und Klimapolitik aufzustellen. </w:t>
      </w:r>
    </w:p>
    <w:p w:rsidR="00AD2DC5" w:rsidRDefault="00AD2DC5" w:rsidP="00F94DD8">
      <w:pPr>
        <w:rPr>
          <w:b/>
        </w:rPr>
      </w:pPr>
    </w:p>
    <w:p w:rsidR="00F94DD8" w:rsidRPr="00AD2DC5" w:rsidRDefault="00F94DD8" w:rsidP="00F94DD8">
      <w:pPr>
        <w:rPr>
          <w:b/>
        </w:rPr>
      </w:pPr>
      <w:r w:rsidRPr="00AD2DC5">
        <w:rPr>
          <w:b/>
        </w:rPr>
        <w:t>Die Vision 2050</w:t>
      </w:r>
    </w:p>
    <w:p w:rsidR="00F94DD8" w:rsidRPr="00AD2DC5" w:rsidRDefault="00F94DD8" w:rsidP="00F94DD8">
      <w:r w:rsidRPr="00AD2DC5">
        <w:t xml:space="preserve">Lösungen zur verknüpften Steuerung von Energieversorgung und Mobilität in Form einer intelligenten Vernetzung und Digitalisierung auf Verbandsgemeindeebene können eine </w:t>
      </w:r>
      <w:proofErr w:type="spellStart"/>
      <w:r w:rsidRPr="00AD2DC5">
        <w:t>weitestgehende</w:t>
      </w:r>
      <w:proofErr w:type="spellEnd"/>
      <w:r w:rsidRPr="00AD2DC5">
        <w:t xml:space="preserve"> Eigennutzung der selbst erzeugten Energie ermöglichen.  </w:t>
      </w:r>
    </w:p>
    <w:p w:rsidR="00F94DD8" w:rsidRPr="00AD2DC5" w:rsidRDefault="00F94DD8" w:rsidP="00F94DD8">
      <w:r w:rsidRPr="00AD2DC5">
        <w:t>Die Leitidee dabei: Energieeffizienz ist Flexibilität hinsichtlich der Abstimmung des Energie</w:t>
      </w:r>
      <w:r w:rsidRPr="00AD2DC5">
        <w:softHyphen/>
        <w:t>verbrauches auf die Erzeugung und somit zugleich Geschäftsfeld, da das vor Ort Erzeugte vor Ort umgesetzt wird (direkte wirtschaftliche Wertschöpfung).</w:t>
      </w:r>
    </w:p>
    <w:p w:rsidR="00F94DD8" w:rsidRPr="00AD2DC5" w:rsidRDefault="00F94DD8" w:rsidP="00F94DD8">
      <w:r w:rsidRPr="00AD2DC5">
        <w:t>Voraussetzung: Eine konsequente Dezentralisierung der Energie- und Ressourcenversorgung ist kennzeichnendes Element und damit Grundlage für künftig erweiterte Geschäfts</w:t>
      </w:r>
      <w:r w:rsidRPr="00AD2DC5">
        <w:softHyphen/>
        <w:t>modelle (Energiecommunity) bzw. die Etablierung eines regionalen, klimaschutzorientierten Energie- und Ressourcenmarktes /-managements.</w:t>
      </w:r>
    </w:p>
    <w:p w:rsidR="00F94DD8" w:rsidRPr="00AD2DC5" w:rsidRDefault="00F94DD8" w:rsidP="00F94DD8">
      <w:r w:rsidRPr="00AD2DC5">
        <w:t xml:space="preserve">Als beratendes Element sollte ein Beirat für integrierten Klimaschutz fungieren.  </w:t>
      </w:r>
    </w:p>
    <w:p w:rsidR="00F94DD8" w:rsidRPr="00AD2DC5" w:rsidRDefault="00F94DD8" w:rsidP="00F94DD8"/>
    <w:p w:rsidR="00B60E24" w:rsidRPr="00AD2DC5" w:rsidRDefault="00B60E24" w:rsidP="00B60E24">
      <w:r w:rsidRPr="00AD2DC5">
        <w:t xml:space="preserve">Künftig ergeben sich die größten Emissionssenkungs-Potenziale insbesondere durch die weitere Integration der Windkraft, der Photovoltaik und der Sanierung der Wohngebäude. Ambitioniert umgesetzt können so jährlich in der Verbandsgemeinde etwa 70 % der Emissionen eingespart werden. </w:t>
      </w:r>
    </w:p>
    <w:p w:rsidR="00A874BD" w:rsidRPr="00AD2DC5" w:rsidRDefault="00A874BD" w:rsidP="00B60E24"/>
    <w:p w:rsidR="001C010F" w:rsidRDefault="00A874BD" w:rsidP="00DE179F">
      <w:pPr>
        <w:rPr>
          <w:i/>
        </w:rPr>
      </w:pPr>
      <w:r>
        <w:rPr>
          <w:noProof/>
          <w:lang w:eastAsia="de-DE"/>
        </w:rPr>
        <w:lastRenderedPageBreak/>
        <w:drawing>
          <wp:inline distT="0" distB="0" distL="0" distR="0" wp14:anchorId="2CE6F332" wp14:editId="1BF9C939">
            <wp:extent cx="5605890" cy="3493698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08394" cy="3495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4BD" w:rsidRDefault="00A874BD" w:rsidP="00DE179F">
      <w:pPr>
        <w:rPr>
          <w:i/>
        </w:rPr>
      </w:pPr>
      <w:r>
        <w:rPr>
          <w:noProof/>
          <w:lang w:eastAsia="de-DE"/>
        </w:rPr>
        <w:drawing>
          <wp:inline distT="0" distB="0" distL="0" distR="0" wp14:anchorId="77EAC210" wp14:editId="04A009BB">
            <wp:extent cx="5544284" cy="3069221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2624" cy="306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416C" w:rsidRDefault="00C13570" w:rsidP="00DE179F">
      <w:pPr>
        <w:rPr>
          <w:sz w:val="20"/>
          <w:szCs w:val="20"/>
        </w:rPr>
      </w:pPr>
      <w:r w:rsidRPr="00D4416C">
        <w:rPr>
          <w:b/>
          <w:sz w:val="20"/>
          <w:szCs w:val="20"/>
        </w:rPr>
        <w:t>Trendszenario</w:t>
      </w:r>
      <w:r w:rsidRPr="00D4416C">
        <w:rPr>
          <w:sz w:val="20"/>
          <w:szCs w:val="20"/>
        </w:rPr>
        <w:br/>
        <w:t>Das Trendszenario (</w:t>
      </w:r>
      <w:r w:rsidR="00D4416C">
        <w:rPr>
          <w:sz w:val="20"/>
          <w:szCs w:val="20"/>
        </w:rPr>
        <w:t>„Business-</w:t>
      </w:r>
      <w:proofErr w:type="spellStart"/>
      <w:r w:rsidR="00D4416C">
        <w:rPr>
          <w:sz w:val="20"/>
          <w:szCs w:val="20"/>
        </w:rPr>
        <w:t>as</w:t>
      </w:r>
      <w:proofErr w:type="spellEnd"/>
      <w:r w:rsidR="00D4416C">
        <w:rPr>
          <w:sz w:val="20"/>
          <w:szCs w:val="20"/>
        </w:rPr>
        <w:t>-</w:t>
      </w:r>
      <w:proofErr w:type="spellStart"/>
      <w:r w:rsidR="00D4416C">
        <w:rPr>
          <w:sz w:val="20"/>
          <w:szCs w:val="20"/>
        </w:rPr>
        <w:t>usual</w:t>
      </w:r>
      <w:proofErr w:type="spellEnd"/>
      <w:r w:rsidR="00D4416C">
        <w:rPr>
          <w:sz w:val="20"/>
          <w:szCs w:val="20"/>
        </w:rPr>
        <w:t>-Szenario“</w:t>
      </w:r>
      <w:r w:rsidRPr="00D4416C">
        <w:rPr>
          <w:sz w:val="20"/>
          <w:szCs w:val="20"/>
        </w:rPr>
        <w:t>) basiert einerseits auf einer</w:t>
      </w:r>
      <w:r w:rsidR="00D4416C">
        <w:rPr>
          <w:sz w:val="20"/>
          <w:szCs w:val="20"/>
        </w:rPr>
        <w:t xml:space="preserve"> </w:t>
      </w:r>
      <w:r w:rsidRPr="00D4416C">
        <w:rPr>
          <w:sz w:val="20"/>
          <w:szCs w:val="20"/>
        </w:rPr>
        <w:t xml:space="preserve">Entwicklung </w:t>
      </w:r>
      <w:r w:rsidR="00D4416C">
        <w:rPr>
          <w:sz w:val="20"/>
          <w:szCs w:val="20"/>
        </w:rPr>
        <w:t xml:space="preserve">und Integration </w:t>
      </w:r>
      <w:r w:rsidRPr="00D4416C">
        <w:rPr>
          <w:sz w:val="20"/>
          <w:szCs w:val="20"/>
        </w:rPr>
        <w:t xml:space="preserve">der erneuerbaren Energien in der Verbandsgemeinde </w:t>
      </w:r>
      <w:proofErr w:type="spellStart"/>
      <w:r w:rsidRPr="00D4416C">
        <w:rPr>
          <w:sz w:val="20"/>
          <w:szCs w:val="20"/>
        </w:rPr>
        <w:t>Lambsheim-Heßheim</w:t>
      </w:r>
      <w:proofErr w:type="spellEnd"/>
      <w:r w:rsidRPr="00D4416C">
        <w:rPr>
          <w:sz w:val="20"/>
          <w:szCs w:val="20"/>
        </w:rPr>
        <w:t xml:space="preserve"> der</w:t>
      </w:r>
      <w:r w:rsidR="00D4416C">
        <w:rPr>
          <w:sz w:val="20"/>
          <w:szCs w:val="20"/>
        </w:rPr>
        <w:t xml:space="preserve"> </w:t>
      </w:r>
      <w:r w:rsidRPr="00D4416C">
        <w:rPr>
          <w:sz w:val="20"/>
          <w:szCs w:val="20"/>
        </w:rPr>
        <w:t>letzten Jahre und andererseits auf dem aktuellen Stand der Politik in puncto Energie- und</w:t>
      </w:r>
      <w:r w:rsidR="00D4416C">
        <w:rPr>
          <w:sz w:val="20"/>
          <w:szCs w:val="20"/>
        </w:rPr>
        <w:t xml:space="preserve"> </w:t>
      </w:r>
      <w:r w:rsidRPr="00D4416C">
        <w:rPr>
          <w:sz w:val="20"/>
          <w:szCs w:val="20"/>
        </w:rPr>
        <w:t xml:space="preserve">Klimaschutz. </w:t>
      </w:r>
      <w:r w:rsidR="00D4416C" w:rsidRPr="00D4416C">
        <w:rPr>
          <w:sz w:val="20"/>
          <w:szCs w:val="20"/>
        </w:rPr>
        <w:t>D</w:t>
      </w:r>
      <w:r w:rsidRPr="00D4416C">
        <w:rPr>
          <w:sz w:val="20"/>
          <w:szCs w:val="20"/>
        </w:rPr>
        <w:t xml:space="preserve">er bisherige Trend </w:t>
      </w:r>
      <w:r w:rsidR="00D4416C" w:rsidRPr="00D4416C">
        <w:rPr>
          <w:sz w:val="20"/>
          <w:szCs w:val="20"/>
        </w:rPr>
        <w:t xml:space="preserve">wird </w:t>
      </w:r>
      <w:r w:rsidRPr="00D4416C">
        <w:rPr>
          <w:sz w:val="20"/>
          <w:szCs w:val="20"/>
        </w:rPr>
        <w:t>fortgeschrieben.</w:t>
      </w:r>
    </w:p>
    <w:p w:rsidR="00D4416C" w:rsidRDefault="00C13570" w:rsidP="00DE179F">
      <w:pPr>
        <w:rPr>
          <w:sz w:val="20"/>
          <w:szCs w:val="20"/>
        </w:rPr>
      </w:pPr>
      <w:r w:rsidRPr="00D4416C">
        <w:rPr>
          <w:b/>
          <w:sz w:val="20"/>
          <w:szCs w:val="20"/>
        </w:rPr>
        <w:t>Klimaschutzszenario</w:t>
      </w:r>
      <w:r w:rsidRPr="00D4416C">
        <w:rPr>
          <w:sz w:val="20"/>
          <w:szCs w:val="20"/>
        </w:rPr>
        <w:br/>
      </w:r>
      <w:r w:rsidR="00D4416C">
        <w:rPr>
          <w:sz w:val="20"/>
          <w:szCs w:val="20"/>
        </w:rPr>
        <w:t>D</w:t>
      </w:r>
      <w:r w:rsidRPr="00D4416C">
        <w:rPr>
          <w:sz w:val="20"/>
          <w:szCs w:val="20"/>
        </w:rPr>
        <w:t xml:space="preserve">ieses Szenario </w:t>
      </w:r>
      <w:r w:rsidR="00D4416C">
        <w:rPr>
          <w:sz w:val="20"/>
          <w:szCs w:val="20"/>
        </w:rPr>
        <w:t xml:space="preserve">basiert </w:t>
      </w:r>
      <w:r w:rsidRPr="00D4416C">
        <w:rPr>
          <w:sz w:val="20"/>
          <w:szCs w:val="20"/>
        </w:rPr>
        <w:t>auf der Annahme, dass sowohl in der</w:t>
      </w:r>
      <w:r w:rsidR="00D4416C">
        <w:rPr>
          <w:sz w:val="20"/>
          <w:szCs w:val="20"/>
        </w:rPr>
        <w:t xml:space="preserve"> </w:t>
      </w:r>
      <w:r w:rsidRPr="00D4416C">
        <w:rPr>
          <w:sz w:val="20"/>
          <w:szCs w:val="20"/>
        </w:rPr>
        <w:t xml:space="preserve">VG </w:t>
      </w:r>
      <w:proofErr w:type="spellStart"/>
      <w:r w:rsidRPr="00D4416C">
        <w:rPr>
          <w:sz w:val="20"/>
          <w:szCs w:val="20"/>
        </w:rPr>
        <w:t>Lambsheim-Heßheim</w:t>
      </w:r>
      <w:proofErr w:type="spellEnd"/>
      <w:r w:rsidRPr="00D4416C">
        <w:rPr>
          <w:sz w:val="20"/>
          <w:szCs w:val="20"/>
        </w:rPr>
        <w:t xml:space="preserve"> vermehrt </w:t>
      </w:r>
      <w:proofErr w:type="spellStart"/>
      <w:r w:rsidRPr="00D4416C">
        <w:rPr>
          <w:sz w:val="20"/>
          <w:szCs w:val="20"/>
        </w:rPr>
        <w:t>Klimaschutz</w:t>
      </w:r>
      <w:r w:rsidR="00D4416C">
        <w:rPr>
          <w:sz w:val="20"/>
          <w:szCs w:val="20"/>
        </w:rPr>
        <w:softHyphen/>
      </w:r>
      <w:r w:rsidRPr="00D4416C">
        <w:rPr>
          <w:sz w:val="20"/>
          <w:szCs w:val="20"/>
        </w:rPr>
        <w:t>aktivitäten</w:t>
      </w:r>
      <w:proofErr w:type="spellEnd"/>
      <w:r w:rsidRPr="00D4416C">
        <w:rPr>
          <w:sz w:val="20"/>
          <w:szCs w:val="20"/>
        </w:rPr>
        <w:t xml:space="preserve"> durchgeführt als auch auf</w:t>
      </w:r>
      <w:r w:rsidR="00D4416C">
        <w:rPr>
          <w:sz w:val="20"/>
          <w:szCs w:val="20"/>
        </w:rPr>
        <w:t xml:space="preserve"> </w:t>
      </w:r>
      <w:r w:rsidRPr="00D4416C">
        <w:rPr>
          <w:sz w:val="20"/>
          <w:szCs w:val="20"/>
        </w:rPr>
        <w:t>bundespolitischer und gesetzgeberischer Ebene zusätzliche Aktivitäten zu Energiewende und</w:t>
      </w:r>
      <w:r w:rsidR="00D4416C">
        <w:rPr>
          <w:sz w:val="20"/>
          <w:szCs w:val="20"/>
        </w:rPr>
        <w:t xml:space="preserve"> </w:t>
      </w:r>
      <w:r w:rsidRPr="00D4416C">
        <w:rPr>
          <w:sz w:val="20"/>
          <w:szCs w:val="20"/>
        </w:rPr>
        <w:t>Klimaschutz vorangetrieben werden.</w:t>
      </w:r>
    </w:p>
    <w:p w:rsidR="00F94DD8" w:rsidRDefault="00C13570" w:rsidP="00DE179F">
      <w:pPr>
        <w:rPr>
          <w:i/>
        </w:rPr>
      </w:pPr>
      <w:r w:rsidRPr="00D4416C">
        <w:rPr>
          <w:b/>
          <w:sz w:val="20"/>
          <w:szCs w:val="20"/>
        </w:rPr>
        <w:t>Pionierszenario</w:t>
      </w:r>
      <w:r w:rsidRPr="00D4416C">
        <w:rPr>
          <w:b/>
          <w:sz w:val="20"/>
          <w:szCs w:val="20"/>
        </w:rPr>
        <w:br/>
      </w:r>
      <w:r w:rsidRPr="00D4416C">
        <w:rPr>
          <w:sz w:val="20"/>
          <w:szCs w:val="20"/>
        </w:rPr>
        <w:t xml:space="preserve">Das Pionierszenario </w:t>
      </w:r>
      <w:r w:rsidR="00D4416C">
        <w:rPr>
          <w:sz w:val="20"/>
          <w:szCs w:val="20"/>
        </w:rPr>
        <w:t xml:space="preserve">fokussiert auf besonders ambitionierte Klimaschutzbemühungen der VG </w:t>
      </w:r>
      <w:r w:rsidRPr="00D4416C">
        <w:rPr>
          <w:sz w:val="20"/>
          <w:szCs w:val="20"/>
        </w:rPr>
        <w:t xml:space="preserve"> </w:t>
      </w:r>
      <w:r w:rsidR="00D4416C">
        <w:rPr>
          <w:sz w:val="20"/>
          <w:szCs w:val="20"/>
        </w:rPr>
        <w:t xml:space="preserve">und </w:t>
      </w:r>
      <w:r w:rsidR="00D4416C" w:rsidRPr="00D4416C">
        <w:rPr>
          <w:sz w:val="20"/>
          <w:szCs w:val="20"/>
        </w:rPr>
        <w:t>übergeordneter</w:t>
      </w:r>
      <w:r w:rsidR="00D4416C" w:rsidRPr="00D4416C">
        <w:rPr>
          <w:sz w:val="20"/>
          <w:szCs w:val="20"/>
        </w:rPr>
        <w:t xml:space="preserve"> Ebenen</w:t>
      </w:r>
      <w:r w:rsidR="00D4416C" w:rsidRPr="00D4416C">
        <w:rPr>
          <w:sz w:val="20"/>
          <w:szCs w:val="20"/>
        </w:rPr>
        <w:t xml:space="preserve">. </w:t>
      </w:r>
    </w:p>
    <w:p w:rsidR="00A874BD" w:rsidRPr="00AD2DC5" w:rsidRDefault="00DE179F" w:rsidP="00DE179F">
      <w:r w:rsidRPr="00AD2DC5">
        <w:lastRenderedPageBreak/>
        <w:t>Wichtig is</w:t>
      </w:r>
      <w:bookmarkStart w:id="0" w:name="_GoBack"/>
      <w:bookmarkEnd w:id="0"/>
      <w:r w:rsidRPr="00AD2DC5">
        <w:t>t nun, die entwickelten Maßnahmen auch umzusetzen.</w:t>
      </w:r>
      <w:r w:rsidR="00A874BD" w:rsidRPr="00AD2DC5">
        <w:t xml:space="preserve"> Insgesamt stehen dabei 17 Maßnahmen im Fokus: </w:t>
      </w:r>
    </w:p>
    <w:p w:rsidR="00A874BD" w:rsidRDefault="00A874BD" w:rsidP="00DE179F">
      <w:pPr>
        <w:rPr>
          <w:i/>
        </w:rPr>
      </w:pPr>
      <w:r>
        <w:rPr>
          <w:noProof/>
          <w:lang w:eastAsia="de-DE"/>
        </w:rPr>
        <w:drawing>
          <wp:inline distT="0" distB="0" distL="0" distR="0" wp14:anchorId="47F30AB6" wp14:editId="358B66FF">
            <wp:extent cx="5760720" cy="2495128"/>
            <wp:effectExtent l="0" t="0" r="0" b="635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95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4BD" w:rsidRDefault="00A874BD" w:rsidP="00DE179F">
      <w:pPr>
        <w:rPr>
          <w:i/>
        </w:rPr>
      </w:pPr>
      <w:r>
        <w:rPr>
          <w:noProof/>
          <w:lang w:eastAsia="de-DE"/>
        </w:rPr>
        <w:drawing>
          <wp:inline distT="0" distB="0" distL="0" distR="0" wp14:anchorId="7CE2AA6E" wp14:editId="6D4A6E91">
            <wp:extent cx="5760720" cy="215705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15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4BD" w:rsidRDefault="00A874BD" w:rsidP="00DE179F">
      <w:pPr>
        <w:rPr>
          <w:i/>
        </w:rPr>
      </w:pPr>
      <w:r>
        <w:rPr>
          <w:noProof/>
          <w:lang w:eastAsia="de-DE"/>
        </w:rPr>
        <w:drawing>
          <wp:inline distT="0" distB="0" distL="0" distR="0" wp14:anchorId="326776E6" wp14:editId="37374061">
            <wp:extent cx="5760720" cy="3042660"/>
            <wp:effectExtent l="0" t="0" r="0" b="571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4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DD8" w:rsidRDefault="00F94DD8" w:rsidP="00A874BD">
      <w:pPr>
        <w:rPr>
          <w:i/>
        </w:rPr>
      </w:pPr>
    </w:p>
    <w:p w:rsidR="00C13570" w:rsidRPr="00C13570" w:rsidRDefault="00C13570" w:rsidP="00C13570">
      <w:r w:rsidRPr="00C13570">
        <w:lastRenderedPageBreak/>
        <w:t xml:space="preserve">Bei allen Maßnahmen gilt:  </w:t>
      </w:r>
      <w:r>
        <w:t>D</w:t>
      </w:r>
      <w:r w:rsidRPr="00C13570">
        <w:t xml:space="preserve">ie Energieeffizienz und die Energieeinsparung haben in allen Sektoren - Strom / Wärme / Kälte / Verkehr / Speicher / </w:t>
      </w:r>
      <w:r>
        <w:t xml:space="preserve">Ressourcenaufschluss – Vorrang. </w:t>
      </w:r>
      <w:r w:rsidRPr="00C13570">
        <w:t>Angefangen bspw. bei Energie- und Ressourcenmanagementsystemen, effizienten Wärmedämmmaßnahmen und Wärme</w:t>
      </w:r>
      <w:r w:rsidRPr="00C13570">
        <w:softHyphen/>
        <w:t xml:space="preserve">-/ Kälteversorgungsanlagen, hocheffizienten Haushaltsgeräten und Beleuchtungen, Green IT, Elektro-, Handwerks- und Gartengeräten bis hin zur Fenster- und Türenjustierung. </w:t>
      </w:r>
    </w:p>
    <w:p w:rsidR="00A874BD" w:rsidRPr="00AD2DC5" w:rsidRDefault="00A874BD" w:rsidP="00A874BD">
      <w:r w:rsidRPr="00AD2DC5">
        <w:t>Die Sektoren müssen künftig in Kombination betrachtet werden, um langfristig eine flexible Abstimmung zwischen Energieverbrauch und -erzeugung vornehmen zu können. Hierfür sind relevante vorbereitende Untersuchungen (z.B. energetisch nutzbares Grundwasseraufkommen,  effiziente energetisch-stoffliche</w:t>
      </w:r>
      <w:r w:rsidR="0027518D" w:rsidRPr="00AD2DC5">
        <w:t xml:space="preserve"> Biorest- und Wertstoffnutzung-</w:t>
      </w:r>
      <w:proofErr w:type="spellStart"/>
      <w:r w:rsidRPr="00AD2DC5">
        <w:t>BioRW</w:t>
      </w:r>
      <w:proofErr w:type="spellEnd"/>
      <w:r w:rsidRPr="00AD2DC5">
        <w:t xml:space="preserve">, Energiespeichernutzung,  kombinierter PV- und Kleinwindkraftanlageneinsatz – Basis: Wind-&amp; Solarkataster der Ortsteile, </w:t>
      </w:r>
      <w:proofErr w:type="spellStart"/>
      <w:r w:rsidRPr="00AD2DC5">
        <w:t>Solarthermiepotenziale</w:t>
      </w:r>
      <w:proofErr w:type="spellEnd"/>
      <w:r w:rsidRPr="00AD2DC5">
        <w:t xml:space="preserve"> / weitere hocheffiziente Technologien) nötig. </w:t>
      </w:r>
    </w:p>
    <w:p w:rsidR="00AD2DC5" w:rsidRDefault="00AD2DC5" w:rsidP="00A874BD"/>
    <w:p w:rsidR="00A874BD" w:rsidRPr="00AD2DC5" w:rsidRDefault="00A874BD" w:rsidP="00A874BD">
      <w:r w:rsidRPr="00AD2DC5">
        <w:t xml:space="preserve">Die Konzepterstellung erfolgte durch die </w:t>
      </w:r>
      <w:proofErr w:type="spellStart"/>
      <w:r w:rsidRPr="00AD2DC5">
        <w:t>EnergyEffizienz</w:t>
      </w:r>
      <w:proofErr w:type="spellEnd"/>
      <w:r w:rsidRPr="00AD2DC5">
        <w:t xml:space="preserve"> GmbH (Lampertheim) in enger Zusammenarbeit mit der Verbandsgemeindeverwaltung. Die Erstellung ist im Rahmen der Nationalen Klimaschutzinitiative mit einer Förderung von 65 % der Kosten durch das Bundesministerium für Umwelt, Naturschutz, Bau und Reaktorsicherheit (BMUB) unterstützt worden. </w:t>
      </w:r>
    </w:p>
    <w:p w:rsidR="00DE179F" w:rsidRPr="00DE179F" w:rsidRDefault="0027518D" w:rsidP="00DE179F">
      <w:pPr>
        <w:rPr>
          <w:i/>
        </w:rPr>
      </w:pPr>
      <w:r w:rsidRPr="00B14EC4">
        <w:rPr>
          <w:noProof/>
          <w:lang w:eastAsia="de-DE"/>
        </w:rPr>
        <w:drawing>
          <wp:anchor distT="0" distB="0" distL="114300" distR="114300" simplePos="0" relativeHeight="251661312" behindDoc="1" locked="0" layoutInCell="1" allowOverlap="1" wp14:anchorId="5CA35FE2" wp14:editId="02A243B6">
            <wp:simplePos x="0" y="0"/>
            <wp:positionH relativeFrom="margin">
              <wp:posOffset>2113280</wp:posOffset>
            </wp:positionH>
            <wp:positionV relativeFrom="margin">
              <wp:posOffset>3827780</wp:posOffset>
            </wp:positionV>
            <wp:extent cx="3876675" cy="1482725"/>
            <wp:effectExtent l="0" t="0" r="9525" b="3175"/>
            <wp:wrapSquare wrapText="bothSides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MUB_NKI_gefoer_Web_300dpi_de_quer_ohne_anschnitt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6675" cy="148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4DD8">
        <w:rPr>
          <w:i/>
        </w:rPr>
        <w:t xml:space="preserve">  </w:t>
      </w:r>
      <w:r w:rsidR="00F94DD8" w:rsidRPr="00B14EC4">
        <w:rPr>
          <w:rFonts w:eastAsia="Calibri"/>
          <w:noProof/>
          <w:lang w:eastAsia="de-DE"/>
        </w:rPr>
        <w:drawing>
          <wp:inline distT="0" distB="0" distL="0" distR="0" wp14:anchorId="4841E192" wp14:editId="22777A81">
            <wp:extent cx="1440000" cy="1243861"/>
            <wp:effectExtent l="0" t="0" r="8255" b="0"/>
            <wp:docPr id="40" name="Grafik 40" descr="C:\Users\Kontakt\Desktop\e-eff_Logo_RGB_gro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fik 19" descr="C:\Users\Kontakt\Desktop\e-eff_Logo_RGB_gross.pn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243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4BD" w:rsidRPr="00A874BD" w:rsidRDefault="00A874BD" w:rsidP="00F94DD8">
      <w:pPr>
        <w:rPr>
          <w:i/>
        </w:rPr>
      </w:pPr>
      <w:r w:rsidRPr="00A874BD">
        <w:rPr>
          <w:i/>
        </w:rPr>
        <w:t xml:space="preserve"> </w:t>
      </w:r>
    </w:p>
    <w:p w:rsidR="00DE179F" w:rsidRDefault="00DE179F" w:rsidP="00B60E24">
      <w:pPr>
        <w:rPr>
          <w:i/>
        </w:rPr>
      </w:pPr>
    </w:p>
    <w:p w:rsidR="00DE179F" w:rsidRDefault="00DE179F" w:rsidP="00B60E24">
      <w:pPr>
        <w:rPr>
          <w:i/>
        </w:rPr>
      </w:pPr>
    </w:p>
    <w:p w:rsidR="00DE179F" w:rsidRPr="001B14C5" w:rsidRDefault="00DE179F" w:rsidP="00B60E24">
      <w:pPr>
        <w:rPr>
          <w:i/>
        </w:rPr>
      </w:pPr>
    </w:p>
    <w:p w:rsidR="00B60E24" w:rsidRDefault="00B60E24"/>
    <w:sectPr w:rsidR="00B60E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179F" w:rsidRDefault="00DE179F" w:rsidP="00DE179F">
      <w:pPr>
        <w:spacing w:after="0" w:line="240" w:lineRule="auto"/>
      </w:pPr>
      <w:r>
        <w:separator/>
      </w:r>
    </w:p>
  </w:endnote>
  <w:endnote w:type="continuationSeparator" w:id="0">
    <w:p w:rsidR="00DE179F" w:rsidRDefault="00DE179F" w:rsidP="00DE1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N Offc">
    <w:altName w:val="Segoe Script"/>
    <w:charset w:val="00"/>
    <w:family w:val="swiss"/>
    <w:pitch w:val="variable"/>
    <w:sig w:usb0="00000003" w:usb1="4000207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179F" w:rsidRDefault="00DE179F" w:rsidP="00DE179F">
      <w:pPr>
        <w:spacing w:after="0" w:line="240" w:lineRule="auto"/>
      </w:pPr>
      <w:r>
        <w:separator/>
      </w:r>
    </w:p>
  </w:footnote>
  <w:footnote w:type="continuationSeparator" w:id="0">
    <w:p w:rsidR="00DE179F" w:rsidRDefault="00DE179F" w:rsidP="00DE1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E05D37"/>
    <w:multiLevelType w:val="hybridMultilevel"/>
    <w:tmpl w:val="086C82F0"/>
    <w:lvl w:ilvl="0" w:tplc="CC48922C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24"/>
    <w:rsid w:val="001C010F"/>
    <w:rsid w:val="0027518D"/>
    <w:rsid w:val="004312B2"/>
    <w:rsid w:val="009D2110"/>
    <w:rsid w:val="00A61603"/>
    <w:rsid w:val="00A874BD"/>
    <w:rsid w:val="00AD2DC5"/>
    <w:rsid w:val="00B60E24"/>
    <w:rsid w:val="00C13570"/>
    <w:rsid w:val="00D4416C"/>
    <w:rsid w:val="00DE179F"/>
    <w:rsid w:val="00F9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0E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DBU Abbildungskopf"/>
    <w:basedOn w:val="Standard"/>
    <w:link w:val="ListenabsatzZchn"/>
    <w:uiPriority w:val="34"/>
    <w:qFormat/>
    <w:rsid w:val="00DE179F"/>
    <w:pPr>
      <w:numPr>
        <w:numId w:val="1"/>
      </w:numPr>
      <w:spacing w:after="120" w:line="259" w:lineRule="auto"/>
      <w:jc w:val="both"/>
    </w:pPr>
    <w:rPr>
      <w:rFonts w:ascii="DIN Offc" w:hAnsi="DIN Offc"/>
      <w:color w:val="000000" w:themeColor="text1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DE179F"/>
    <w:pPr>
      <w:spacing w:after="0" w:line="240" w:lineRule="auto"/>
      <w:jc w:val="both"/>
    </w:pPr>
    <w:rPr>
      <w:rFonts w:ascii="DIN Offc" w:hAnsi="DIN Offc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E179F"/>
    <w:rPr>
      <w:rFonts w:ascii="DIN Offc" w:hAnsi="DIN Offc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E179F"/>
    <w:rPr>
      <w:vertAlign w:val="superscript"/>
    </w:rPr>
  </w:style>
  <w:style w:type="character" w:customStyle="1" w:styleId="ListenabsatzZchn">
    <w:name w:val="Listenabsatz Zchn"/>
    <w:aliases w:val="DBU Abbildungskopf Zchn"/>
    <w:basedOn w:val="Absatz-Standardschriftart"/>
    <w:link w:val="Listenabsatz"/>
    <w:uiPriority w:val="34"/>
    <w:rsid w:val="00DE179F"/>
    <w:rPr>
      <w:rFonts w:ascii="DIN Offc" w:hAnsi="DIN Offc"/>
      <w:color w:val="000000" w:themeColor="tex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4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0E2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DBU Abbildungskopf"/>
    <w:basedOn w:val="Standard"/>
    <w:link w:val="ListenabsatzZchn"/>
    <w:uiPriority w:val="34"/>
    <w:qFormat/>
    <w:rsid w:val="00DE179F"/>
    <w:pPr>
      <w:numPr>
        <w:numId w:val="1"/>
      </w:numPr>
      <w:spacing w:after="120" w:line="259" w:lineRule="auto"/>
      <w:jc w:val="both"/>
    </w:pPr>
    <w:rPr>
      <w:rFonts w:ascii="DIN Offc" w:hAnsi="DIN Offc"/>
      <w:color w:val="000000" w:themeColor="text1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DE179F"/>
    <w:pPr>
      <w:spacing w:after="0" w:line="240" w:lineRule="auto"/>
      <w:jc w:val="both"/>
    </w:pPr>
    <w:rPr>
      <w:rFonts w:ascii="DIN Offc" w:hAnsi="DIN Offc"/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DE179F"/>
    <w:rPr>
      <w:rFonts w:ascii="DIN Offc" w:hAnsi="DIN Offc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DE179F"/>
    <w:rPr>
      <w:vertAlign w:val="superscript"/>
    </w:rPr>
  </w:style>
  <w:style w:type="character" w:customStyle="1" w:styleId="ListenabsatzZchn">
    <w:name w:val="Listenabsatz Zchn"/>
    <w:aliases w:val="DBU Abbildungskopf Zchn"/>
    <w:basedOn w:val="Absatz-Standardschriftart"/>
    <w:link w:val="Listenabsatz"/>
    <w:uiPriority w:val="34"/>
    <w:rsid w:val="00DE179F"/>
    <w:rPr>
      <w:rFonts w:ascii="DIN Offc" w:hAnsi="DIN Offc"/>
      <w:color w:val="000000" w:themeColor="text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74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544</Words>
  <Characters>3428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Lindhorst</dc:creator>
  <cp:lastModifiedBy>User</cp:lastModifiedBy>
  <cp:revision>7</cp:revision>
  <dcterms:created xsi:type="dcterms:W3CDTF">2018-03-15T14:06:00Z</dcterms:created>
  <dcterms:modified xsi:type="dcterms:W3CDTF">2018-03-16T11:14:00Z</dcterms:modified>
</cp:coreProperties>
</file>